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ED28B" w14:textId="77777777" w:rsidR="009C133E" w:rsidRDefault="00681BDC">
      <w:pPr>
        <w:pStyle w:val="Standard"/>
        <w:rPr>
          <w:rFonts w:hint="eastAsia"/>
        </w:rPr>
      </w:pPr>
      <w:r>
        <w:t>FAO Planning Policy Team</w:t>
      </w:r>
    </w:p>
    <w:p w14:paraId="29FFD92B" w14:textId="77777777" w:rsidR="009C133E" w:rsidRDefault="00681BDC">
      <w:pPr>
        <w:pStyle w:val="Standard"/>
        <w:rPr>
          <w:rFonts w:hint="eastAsia"/>
        </w:rPr>
      </w:pPr>
      <w:r>
        <w:t>Cheshire West and Chester Council</w:t>
      </w:r>
    </w:p>
    <w:p w14:paraId="573B02B6" w14:textId="77777777" w:rsidR="009C133E" w:rsidRDefault="00681BDC">
      <w:pPr>
        <w:pStyle w:val="Standard"/>
        <w:rPr>
          <w:rFonts w:hint="eastAsia"/>
        </w:rPr>
      </w:pPr>
      <w:r>
        <w:t>The Portal</w:t>
      </w:r>
    </w:p>
    <w:p w14:paraId="0DE3F3E3" w14:textId="77777777" w:rsidR="009C133E" w:rsidRDefault="00681BDC">
      <w:pPr>
        <w:pStyle w:val="Standard"/>
        <w:rPr>
          <w:rFonts w:hint="eastAsia"/>
        </w:rPr>
      </w:pPr>
      <w:r>
        <w:t>Wellington Road</w:t>
      </w:r>
    </w:p>
    <w:p w14:paraId="7D0FF0ED" w14:textId="77777777" w:rsidR="009C133E" w:rsidRDefault="00681BDC">
      <w:pPr>
        <w:pStyle w:val="Standard"/>
        <w:rPr>
          <w:rFonts w:hint="eastAsia"/>
        </w:rPr>
      </w:pPr>
      <w:r>
        <w:t>Ellesmere Port</w:t>
      </w:r>
    </w:p>
    <w:p w14:paraId="679AAD68" w14:textId="77777777" w:rsidR="009C133E" w:rsidRDefault="00681BDC">
      <w:pPr>
        <w:pStyle w:val="Standard"/>
        <w:rPr>
          <w:rFonts w:hint="eastAsia"/>
        </w:rPr>
      </w:pPr>
      <w:r>
        <w:t>CH65 0BA</w:t>
      </w:r>
    </w:p>
    <w:p w14:paraId="33FB4B9E" w14:textId="77777777" w:rsidR="009C133E" w:rsidRDefault="009C133E">
      <w:pPr>
        <w:pStyle w:val="Standard"/>
        <w:rPr>
          <w:rFonts w:hint="eastAsia"/>
        </w:rPr>
      </w:pPr>
    </w:p>
    <w:p w14:paraId="4A90C843" w14:textId="77777777" w:rsidR="009C133E" w:rsidRDefault="009C133E">
      <w:pPr>
        <w:pStyle w:val="Standard"/>
        <w:rPr>
          <w:rFonts w:hint="eastAsia"/>
        </w:rPr>
      </w:pPr>
    </w:p>
    <w:p w14:paraId="2F5F8057" w14:textId="77777777" w:rsidR="009C133E" w:rsidRDefault="009C133E">
      <w:pPr>
        <w:pStyle w:val="Standard"/>
        <w:rPr>
          <w:rFonts w:hint="eastAsia"/>
        </w:rPr>
      </w:pPr>
    </w:p>
    <w:p w14:paraId="7DCB66D0" w14:textId="77777777" w:rsidR="009C133E" w:rsidRDefault="00681BDC">
      <w:pPr>
        <w:pStyle w:val="Standard"/>
        <w:rPr>
          <w:rFonts w:hint="eastAsia"/>
        </w:rPr>
      </w:pPr>
      <w:r>
        <w:t>Dear Madam/Sir,</w:t>
      </w:r>
    </w:p>
    <w:p w14:paraId="7F343843" w14:textId="77777777" w:rsidR="009C133E" w:rsidRDefault="009C133E">
      <w:pPr>
        <w:pStyle w:val="Standard"/>
        <w:rPr>
          <w:rFonts w:hint="eastAsia"/>
        </w:rPr>
      </w:pPr>
    </w:p>
    <w:p w14:paraId="115F688A" w14:textId="77777777" w:rsidR="009C133E" w:rsidRDefault="00681BDC">
      <w:pPr>
        <w:pStyle w:val="Standard"/>
        <w:rPr>
          <w:rFonts w:hint="eastAsia"/>
          <w:b/>
          <w:bCs/>
        </w:rPr>
      </w:pPr>
      <w:r>
        <w:rPr>
          <w:b/>
          <w:bCs/>
        </w:rPr>
        <w:t>Re Tattenhall &amp; District Modified Neighbourhood Plan – Regulation 16 Consultation</w:t>
      </w:r>
    </w:p>
    <w:p w14:paraId="143A35E6" w14:textId="77777777" w:rsidR="009C133E" w:rsidRDefault="009C133E">
      <w:pPr>
        <w:pStyle w:val="Standard"/>
        <w:rPr>
          <w:rFonts w:hint="eastAsia"/>
          <w:b/>
          <w:bCs/>
        </w:rPr>
      </w:pPr>
    </w:p>
    <w:p w14:paraId="18328223" w14:textId="77777777" w:rsidR="009C133E" w:rsidRDefault="00681BDC">
      <w:pPr>
        <w:pStyle w:val="Standard"/>
        <w:rPr>
          <w:rFonts w:hint="eastAsia"/>
        </w:rPr>
      </w:pPr>
      <w:r>
        <w:t>I have some concerns with the Neighbourhood Plan, most notably regarding the allocation of the site for Phase 1.</w:t>
      </w:r>
    </w:p>
    <w:p w14:paraId="64B73A6D" w14:textId="77777777" w:rsidR="009C133E" w:rsidRDefault="009C133E">
      <w:pPr>
        <w:pStyle w:val="Standard"/>
        <w:rPr>
          <w:rFonts w:hint="eastAsia"/>
        </w:rPr>
      </w:pPr>
    </w:p>
    <w:p w14:paraId="64494CE6" w14:textId="77777777" w:rsidR="009C133E" w:rsidRDefault="00681BDC">
      <w:pPr>
        <w:pStyle w:val="Standard"/>
        <w:rPr>
          <w:rFonts w:hint="eastAsia"/>
        </w:rPr>
      </w:pPr>
      <w:r>
        <w:t>The site allocated for Phase 1 contradicts Policy 5 which states that ‘Development should –</w:t>
      </w:r>
    </w:p>
    <w:p w14:paraId="6B180392" w14:textId="77777777" w:rsidR="009C133E" w:rsidRDefault="00681BDC">
      <w:pPr>
        <w:pStyle w:val="Standard"/>
        <w:rPr>
          <w:rFonts w:hint="eastAsia"/>
        </w:rPr>
      </w:pPr>
      <w:r>
        <w:t>Identify the realistic level of traffic and movement it is likely to generate across all</w:t>
      </w:r>
      <w:r>
        <w:t xml:space="preserve"> modes, including walking, cycling and public transport. </w:t>
      </w:r>
      <w:r>
        <w:rPr>
          <w:i/>
          <w:iCs/>
        </w:rPr>
        <w:t xml:space="preserve">It must assess the potential impact of this on pedestrians, cyclists, road safety, parking and congestion within the parish and include measures to appropriately mitigate any significant adverse impacts. Development that would give rise to unacceptable highway safety impacts or severe residual cumulative impacts on the road network will not be permitted.  </w:t>
      </w:r>
      <w:r>
        <w:t xml:space="preserve">  Policy 5.3.36 acknowledges that the plan should ‘r</w:t>
      </w:r>
      <w:r>
        <w:rPr>
          <w:i/>
          <w:iCs/>
        </w:rPr>
        <w:t xml:space="preserve">educe dependence of the use of the private </w:t>
      </w:r>
      <w:r>
        <w:rPr>
          <w:i/>
          <w:iCs/>
        </w:rPr>
        <w:t xml:space="preserve">car for short journeys, which has increasing resulting in congestion through the core of the village in recent years’ </w:t>
      </w:r>
      <w:r>
        <w:t>y</w:t>
      </w:r>
      <w:r>
        <w:t xml:space="preserve">et has </w:t>
      </w:r>
      <w:r>
        <w:rPr>
          <w:u w:val="single"/>
        </w:rPr>
        <w:t xml:space="preserve">allocated a site far away from the village centre, with only one route in by car, which will inevitably produce a huge amount of traffic </w:t>
      </w:r>
      <w:r>
        <w:t>(the school run alone amounts to 4 journeys per day).</w:t>
      </w:r>
    </w:p>
    <w:p w14:paraId="134DE716" w14:textId="77777777" w:rsidR="009C133E" w:rsidRDefault="00681BDC">
      <w:pPr>
        <w:pStyle w:val="Standard"/>
        <w:rPr>
          <w:rFonts w:hint="eastAsia"/>
        </w:rPr>
      </w:pPr>
      <w:r>
        <w:t>Providing parking in the village centre does not reduce car use.</w:t>
      </w:r>
    </w:p>
    <w:p w14:paraId="2EA6F1F6" w14:textId="77777777" w:rsidR="009C133E" w:rsidRDefault="009C133E">
      <w:pPr>
        <w:pStyle w:val="Standard"/>
        <w:rPr>
          <w:rFonts w:hint="eastAsia"/>
        </w:rPr>
      </w:pPr>
    </w:p>
    <w:p w14:paraId="559D4255" w14:textId="77777777" w:rsidR="009C133E" w:rsidRDefault="00681BDC">
      <w:pPr>
        <w:pStyle w:val="Standard"/>
        <w:rPr>
          <w:rFonts w:hint="eastAsia"/>
        </w:rPr>
      </w:pPr>
      <w:r>
        <w:t xml:space="preserve">There has recently been strong opposition by residents and the Parish Council to application 25/02070/FUL for 110 houses off </w:t>
      </w:r>
      <w:r>
        <w:t>Chester Road. The minutes from Tattenhall &amp; District Parish Council Extraordinary Meeting held on 8</w:t>
      </w:r>
      <w:r>
        <w:rPr>
          <w:vertAlign w:val="superscript"/>
        </w:rPr>
        <w:t>th</w:t>
      </w:r>
      <w:r>
        <w:t xml:space="preserve"> June 2026 include the following objections:</w:t>
      </w:r>
    </w:p>
    <w:p w14:paraId="0D069A2A" w14:textId="77777777" w:rsidR="009C133E" w:rsidRDefault="00681BDC">
      <w:pPr>
        <w:pStyle w:val="Standard"/>
        <w:numPr>
          <w:ilvl w:val="0"/>
          <w:numId w:val="1"/>
        </w:numPr>
        <w:rPr>
          <w:rFonts w:hint="eastAsia"/>
        </w:rPr>
      </w:pPr>
      <w:r>
        <w:t>Does not meet the needs of the community or provide much needed infrastructure</w:t>
      </w:r>
    </w:p>
    <w:p w14:paraId="5154E438" w14:textId="77777777" w:rsidR="009C133E" w:rsidRDefault="00681BDC">
      <w:pPr>
        <w:pStyle w:val="Standard"/>
        <w:numPr>
          <w:ilvl w:val="0"/>
          <w:numId w:val="1"/>
        </w:numPr>
        <w:rPr>
          <w:rFonts w:hint="eastAsia"/>
        </w:rPr>
      </w:pPr>
      <w:r>
        <w:t>Detrimental Impact on Character and Landscape</w:t>
      </w:r>
    </w:p>
    <w:p w14:paraId="40C42391" w14:textId="77777777" w:rsidR="009C133E" w:rsidRDefault="00681BDC">
      <w:pPr>
        <w:pStyle w:val="Standard"/>
        <w:numPr>
          <w:ilvl w:val="0"/>
          <w:numId w:val="1"/>
        </w:numPr>
        <w:rPr>
          <w:rFonts w:hint="eastAsia"/>
        </w:rPr>
      </w:pPr>
      <w:r>
        <w:t>Proposed development is in open countryside</w:t>
      </w:r>
      <w:proofErr w:type="gramStart"/>
      <w:r>
        <w:t>…..</w:t>
      </w:r>
      <w:proofErr w:type="gramEnd"/>
      <w:r>
        <w:t>creating a sprawling urban mass in the open countryside and urbanised edge to the village</w:t>
      </w:r>
    </w:p>
    <w:p w14:paraId="3F9548BE" w14:textId="77777777" w:rsidR="009C133E" w:rsidRDefault="00681BDC">
      <w:pPr>
        <w:pStyle w:val="Standard"/>
        <w:numPr>
          <w:ilvl w:val="0"/>
          <w:numId w:val="1"/>
        </w:numPr>
        <w:rPr>
          <w:rFonts w:hint="eastAsia"/>
        </w:rPr>
      </w:pPr>
      <w:r>
        <w:t>Loss of agricultural land</w:t>
      </w:r>
    </w:p>
    <w:p w14:paraId="5D147D69" w14:textId="77777777" w:rsidR="009C133E" w:rsidRDefault="00681BDC">
      <w:pPr>
        <w:pStyle w:val="Standard"/>
        <w:numPr>
          <w:ilvl w:val="0"/>
          <w:numId w:val="1"/>
        </w:numPr>
        <w:rPr>
          <w:rFonts w:hint="eastAsia"/>
        </w:rPr>
      </w:pPr>
      <w:r>
        <w:t>Loss of biodiversity</w:t>
      </w:r>
    </w:p>
    <w:p w14:paraId="761BFD8F" w14:textId="77777777" w:rsidR="009C133E" w:rsidRDefault="00681BDC">
      <w:pPr>
        <w:pStyle w:val="Standard"/>
        <w:numPr>
          <w:ilvl w:val="0"/>
          <w:numId w:val="1"/>
        </w:numPr>
        <w:rPr>
          <w:rFonts w:hint="eastAsia"/>
        </w:rPr>
      </w:pPr>
      <w:r>
        <w:t>Significant increase in traffic. It is stated that ‘</w:t>
      </w:r>
      <w:r>
        <w:rPr>
          <w:i/>
          <w:iCs/>
        </w:rPr>
        <w:t xml:space="preserve">The </w:t>
      </w:r>
      <w:r>
        <w:rPr>
          <w:i/>
          <w:iCs/>
        </w:rPr>
        <w:t xml:space="preserve">roads which make up the main routes into and out </w:t>
      </w:r>
      <w:proofErr w:type="gramStart"/>
      <w:r>
        <w:rPr>
          <w:i/>
          <w:iCs/>
        </w:rPr>
        <w:t>of  Tattenhall</w:t>
      </w:r>
      <w:proofErr w:type="gramEnd"/>
      <w:r>
        <w:rPr>
          <w:i/>
          <w:iCs/>
        </w:rPr>
        <w:t xml:space="preserve"> are all narrow country lanes that are at capacity with vehicles of all sizes including agricultural vehicles….’ and ‘Rocky Lane provides the main route out of Tattenhall in a southerly direction; the narrow lane is well below the standard required of any road used by the number and type of vehicles that use it daily with vehicles overrunning verges to pass. Frog Lane does not provide a viable alternative to Rocky Lane’.</w:t>
      </w:r>
    </w:p>
    <w:p w14:paraId="2ADB3DAD" w14:textId="77777777" w:rsidR="009C133E" w:rsidRDefault="00681BDC">
      <w:pPr>
        <w:pStyle w:val="Standard"/>
        <w:numPr>
          <w:ilvl w:val="0"/>
          <w:numId w:val="1"/>
        </w:numPr>
        <w:rPr>
          <w:rFonts w:hint="eastAsia"/>
        </w:rPr>
      </w:pPr>
      <w:r>
        <w:t xml:space="preserve">Congestion at junctions </w:t>
      </w:r>
      <w:r>
        <w:t>with A41</w:t>
      </w:r>
    </w:p>
    <w:p w14:paraId="37D9F0E3" w14:textId="77777777" w:rsidR="009C133E" w:rsidRDefault="00681BDC">
      <w:pPr>
        <w:pStyle w:val="Standard"/>
        <w:numPr>
          <w:ilvl w:val="0"/>
          <w:numId w:val="1"/>
        </w:numPr>
        <w:rPr>
          <w:rFonts w:hint="eastAsia"/>
        </w:rPr>
      </w:pPr>
      <w:r>
        <w:t xml:space="preserve">Site is away from the centre of Tattenhall and will create pollution </w:t>
      </w:r>
      <w:proofErr w:type="gramStart"/>
      <w:r>
        <w:t>as a result of</w:t>
      </w:r>
      <w:proofErr w:type="gramEnd"/>
      <w:r>
        <w:t xml:space="preserve"> additional traffic movements and </w:t>
      </w:r>
      <w:proofErr w:type="gramStart"/>
      <w:r>
        <w:t>congestion .</w:t>
      </w:r>
      <w:proofErr w:type="gramEnd"/>
      <w:r>
        <w:t xml:space="preserve"> [</w:t>
      </w:r>
      <w:r>
        <w:rPr>
          <w:u w:val="single"/>
        </w:rPr>
        <w:t>Phase 1 allocated site is further away from the centre</w:t>
      </w:r>
      <w:r>
        <w:t>]</w:t>
      </w:r>
    </w:p>
    <w:p w14:paraId="3EFB028A" w14:textId="77777777" w:rsidR="009C133E" w:rsidRDefault="00681BDC">
      <w:pPr>
        <w:pStyle w:val="Standard"/>
        <w:numPr>
          <w:ilvl w:val="0"/>
          <w:numId w:val="1"/>
        </w:numPr>
        <w:rPr>
          <w:rFonts w:hint="eastAsia"/>
        </w:rPr>
      </w:pPr>
      <w:r>
        <w:t>Sewerage treatment facilities are at capacity</w:t>
      </w:r>
    </w:p>
    <w:p w14:paraId="3E9D4C50" w14:textId="77777777" w:rsidR="009C133E" w:rsidRDefault="009C133E">
      <w:pPr>
        <w:pStyle w:val="Standard"/>
        <w:rPr>
          <w:rFonts w:hint="eastAsia"/>
        </w:rPr>
      </w:pPr>
    </w:p>
    <w:p w14:paraId="33856D48" w14:textId="77777777" w:rsidR="009C133E" w:rsidRDefault="009C133E">
      <w:pPr>
        <w:pStyle w:val="Standard"/>
        <w:rPr>
          <w:rFonts w:hint="eastAsia"/>
        </w:rPr>
      </w:pPr>
    </w:p>
    <w:p w14:paraId="20BE434B" w14:textId="77777777" w:rsidR="009C133E" w:rsidRDefault="00681BDC">
      <w:pPr>
        <w:pStyle w:val="Standard"/>
        <w:rPr>
          <w:rFonts w:hint="eastAsia"/>
        </w:rPr>
      </w:pPr>
      <w:r>
        <w:lastRenderedPageBreak/>
        <w:t xml:space="preserve">At the Planning meeting on </w:t>
      </w:r>
      <w:proofErr w:type="gramStart"/>
      <w:r>
        <w:t>7</w:t>
      </w:r>
      <w:r>
        <w:rPr>
          <w:vertAlign w:val="superscript"/>
        </w:rPr>
        <w:t>th</w:t>
      </w:r>
      <w:r>
        <w:t xml:space="preserve"> July</w:t>
      </w:r>
      <w:proofErr w:type="gramEnd"/>
      <w:r>
        <w:t xml:space="preserve"> it was also argued that increased traffic from 110 extra houses would add unacceptable levels of pollution at key points on the A41 towards Chester, yet a plan that will generate over 5 times as many vehicles is being supported.</w:t>
      </w:r>
    </w:p>
    <w:p w14:paraId="3E284972" w14:textId="77777777" w:rsidR="009C133E" w:rsidRDefault="009C133E">
      <w:pPr>
        <w:pStyle w:val="Standard"/>
        <w:rPr>
          <w:rFonts w:hint="eastAsia"/>
        </w:rPr>
      </w:pPr>
    </w:p>
    <w:p w14:paraId="2A9672E8" w14:textId="77777777" w:rsidR="009C133E" w:rsidRDefault="00681BDC">
      <w:pPr>
        <w:pStyle w:val="Standard"/>
        <w:rPr>
          <w:rFonts w:hint="eastAsia"/>
        </w:rPr>
      </w:pPr>
      <w:r>
        <w:t>It</w:t>
      </w:r>
      <w:r>
        <w:t xml:space="preserve"> is surely breathtaking hypocrisy for our so-called representatives to object as above to 110 houses off </w:t>
      </w:r>
      <w:proofErr w:type="gramStart"/>
      <w:r>
        <w:t>Chester Road, yet</w:t>
      </w:r>
      <w:proofErr w:type="gramEnd"/>
      <w:r>
        <w:t xml:space="preserve"> promote the allocation of a site on the south-west fringe of the village far away from the village centre, between lanes identified above as ‘well below standard’ which, together with Phase 2 will have </w:t>
      </w:r>
      <w:proofErr w:type="gramStart"/>
      <w:r>
        <w:t>5 fold</w:t>
      </w:r>
      <w:proofErr w:type="gramEnd"/>
      <w:r>
        <w:t xml:space="preserve"> these impacts. The decision has been made by people who predominantly live on the other side of the village (where the smaller development that has been argued against is located).</w:t>
      </w:r>
      <w:r>
        <w:t xml:space="preserve">  I don’t believe the impact a development of this size will have at the proposed Phase 1 site is fully understood.</w:t>
      </w:r>
    </w:p>
    <w:p w14:paraId="68C2F59C" w14:textId="77777777" w:rsidR="009C133E" w:rsidRDefault="00681BDC">
      <w:pPr>
        <w:pStyle w:val="Standard"/>
        <w:rPr>
          <w:rFonts w:hint="eastAsia"/>
        </w:rPr>
      </w:pPr>
      <w:r>
        <w:t xml:space="preserve">This is not NIMBY-ism and concern about loss of countryside views – there are very real and appropriate concerns based on knowledge and experience from living in this part of the village. Rocky Lane is already dangerous in places (such as blind exits from </w:t>
      </w:r>
      <w:proofErr w:type="spellStart"/>
      <w:r>
        <w:t>Edgecroft</w:t>
      </w:r>
      <w:proofErr w:type="spellEnd"/>
      <w:r>
        <w:t xml:space="preserve"> and the junction with </w:t>
      </w:r>
      <w:proofErr w:type="spellStart"/>
      <w:r>
        <w:t>Bolesworth</w:t>
      </w:r>
      <w:proofErr w:type="spellEnd"/>
      <w:r>
        <w:t xml:space="preserve"> Road) – there have been many near misses.</w:t>
      </w:r>
    </w:p>
    <w:p w14:paraId="1A555EE1" w14:textId="77777777" w:rsidR="009C133E" w:rsidRDefault="009C133E">
      <w:pPr>
        <w:pStyle w:val="Standard"/>
        <w:rPr>
          <w:rFonts w:hint="eastAsia"/>
        </w:rPr>
      </w:pPr>
    </w:p>
    <w:p w14:paraId="5825A538" w14:textId="77777777" w:rsidR="009C133E" w:rsidRDefault="00681BDC">
      <w:pPr>
        <w:pStyle w:val="Standard"/>
        <w:rPr>
          <w:rFonts w:hint="eastAsia"/>
        </w:rPr>
      </w:pPr>
      <w:r>
        <w:t xml:space="preserve"> Additionally, the site for Phase 1 was identified by </w:t>
      </w:r>
      <w:r>
        <w:t>the Parish Council as ‘Not suitable for housing’ in 2024 (CW&amp;C Local Plan Consultation 4/3/2024). Acceptable uses were stated as ‘Open green space, continued land for food production/open countryside, outside Key Service Centre Boundary/ site would have unacceptable adverse environmental impact’</w:t>
      </w:r>
    </w:p>
    <w:p w14:paraId="37403A20" w14:textId="77777777" w:rsidR="009C133E" w:rsidRDefault="009C133E">
      <w:pPr>
        <w:pStyle w:val="Standard"/>
        <w:rPr>
          <w:rFonts w:hint="eastAsia"/>
        </w:rPr>
      </w:pPr>
    </w:p>
    <w:p w14:paraId="36029CDE" w14:textId="77777777" w:rsidR="009C133E" w:rsidRDefault="00681BDC">
      <w:pPr>
        <w:pStyle w:val="Standard"/>
        <w:rPr>
          <w:rFonts w:hint="eastAsia"/>
        </w:rPr>
      </w:pPr>
      <w:r>
        <w:t>Notwithstanding the need for development, it is disingenuous to change the arguments and disregard legitimate concerns to fit in with a new agenda.</w:t>
      </w:r>
    </w:p>
    <w:p w14:paraId="1D48AFD1" w14:textId="77777777" w:rsidR="009C133E" w:rsidRDefault="009C133E">
      <w:pPr>
        <w:pStyle w:val="Standard"/>
        <w:rPr>
          <w:rFonts w:hint="eastAsia"/>
        </w:rPr>
      </w:pPr>
    </w:p>
    <w:p w14:paraId="088D9D20" w14:textId="77777777" w:rsidR="009C133E" w:rsidRDefault="00681BDC">
      <w:pPr>
        <w:pStyle w:val="Standard"/>
        <w:rPr>
          <w:rFonts w:hint="eastAsia"/>
        </w:rPr>
      </w:pPr>
      <w:r>
        <w:t>The Ecological Impact Assessment Report compiled for the planning</w:t>
      </w:r>
      <w:r>
        <w:t xml:space="preserve"> application that is already in for Phase 1 (26/00486/OUT) identifies the adverse impact on </w:t>
      </w:r>
      <w:proofErr w:type="gramStart"/>
      <w:r>
        <w:t>a number of</w:t>
      </w:r>
      <w:proofErr w:type="gramEnd"/>
      <w:r>
        <w:t xml:space="preserve"> species of developing this site, </w:t>
      </w:r>
      <w:r>
        <w:rPr>
          <w:i/>
          <w:iCs/>
        </w:rPr>
        <w:t>including badgers</w:t>
      </w:r>
      <w:r>
        <w:t>.  Mitigation is not avoidance of harm.</w:t>
      </w:r>
    </w:p>
    <w:p w14:paraId="3BD190F1" w14:textId="77777777" w:rsidR="009C133E" w:rsidRDefault="009C133E">
      <w:pPr>
        <w:pStyle w:val="Standard"/>
        <w:rPr>
          <w:rFonts w:hint="eastAsia"/>
        </w:rPr>
      </w:pPr>
    </w:p>
    <w:p w14:paraId="71B24FDB" w14:textId="77777777" w:rsidR="009C133E" w:rsidRDefault="00681BDC">
      <w:pPr>
        <w:pStyle w:val="Standard"/>
        <w:rPr>
          <w:rFonts w:hint="eastAsia"/>
        </w:rPr>
      </w:pPr>
      <w:r>
        <w:t xml:space="preserve">Policy 3 (3.1.8) states that one of the objectives of the Neighbourhood Plan is to </w:t>
      </w:r>
      <w:r>
        <w:rPr>
          <w:i/>
          <w:iCs/>
        </w:rPr>
        <w:t xml:space="preserve">‘Involve local people in an ongoing basis in the process of plan-making, monitoring and delivery of development’. </w:t>
      </w:r>
      <w:r>
        <w:t>Section 3.48 states that ‘Policy 7 responds directly to this national policy context by identifying the most sustainable</w:t>
      </w:r>
      <w:r>
        <w:t xml:space="preserve"> location for growth, avoiding un-planned speculative development and </w:t>
      </w:r>
      <w:r>
        <w:rPr>
          <w:i/>
          <w:iCs/>
        </w:rPr>
        <w:t xml:space="preserve">supported by the local community as the preferred location for the long-term prosperity of the village, </w:t>
      </w:r>
      <w:r>
        <w:t>ensuring that development contributes positively to the long-term function and character of Tattenhall’.</w:t>
      </w:r>
    </w:p>
    <w:p w14:paraId="60AE6A62" w14:textId="77777777" w:rsidR="009C133E" w:rsidRDefault="00681BDC">
      <w:pPr>
        <w:pStyle w:val="Standard"/>
        <w:rPr>
          <w:rFonts w:hint="eastAsia"/>
        </w:rPr>
      </w:pPr>
      <w:r>
        <w:rPr>
          <w:u w:val="single"/>
        </w:rPr>
        <w:t>This is not true</w:t>
      </w:r>
      <w:r>
        <w:t xml:space="preserve"> – the local community voted for the development of the site allocated for Phase </w:t>
      </w:r>
      <w:proofErr w:type="gramStart"/>
      <w:r>
        <w:t>2,</w:t>
      </w:r>
      <w:proofErr w:type="gramEnd"/>
      <w:r>
        <w:t xml:space="preserve"> they did not agree to the site allocation for Phase 1. This was decided by the Parish Council and the landowner, </w:t>
      </w:r>
      <w:r>
        <w:rPr>
          <w:b/>
          <w:bCs/>
        </w:rPr>
        <w:t xml:space="preserve">not </w:t>
      </w:r>
      <w:r>
        <w:t>in consultation</w:t>
      </w:r>
      <w:r>
        <w:t xml:space="preserve"> with local people and is contrary to the National Planning Policy Framework (Para 16 c) which states that plans should </w:t>
      </w:r>
      <w:proofErr w:type="gramStart"/>
      <w:r>
        <w:t>be  ‘</w:t>
      </w:r>
      <w:proofErr w:type="gramEnd"/>
      <w:r>
        <w:t xml:space="preserve">shaped by early, proportionate and effective engagement between plan-makers and </w:t>
      </w:r>
      <w:r>
        <w:rPr>
          <w:i/>
          <w:iCs/>
        </w:rPr>
        <w:t>communities</w:t>
      </w:r>
      <w:proofErr w:type="gramStart"/>
      <w:r>
        <w:t>…..</w:t>
      </w:r>
      <w:proofErr w:type="gramEnd"/>
      <w:r>
        <w:t xml:space="preserve">’  It seems the landowner’s agenda has been allowed to override a democratic process and dictate the terms on which the village expands. This cannot be right and erodes faith in the planning process and support for the Parish Council. As for ‘positive contributions’ - there have been many </w:t>
      </w:r>
      <w:r>
        <w:t>promises made in the past by the same landowner that have not materialised.</w:t>
      </w:r>
    </w:p>
    <w:p w14:paraId="1E342C1D" w14:textId="77777777" w:rsidR="009C133E" w:rsidRDefault="009C133E">
      <w:pPr>
        <w:pStyle w:val="Standard"/>
        <w:rPr>
          <w:rFonts w:hint="eastAsia"/>
        </w:rPr>
      </w:pPr>
    </w:p>
    <w:p w14:paraId="528D0756" w14:textId="77777777" w:rsidR="009C133E" w:rsidRDefault="00681BDC">
      <w:pPr>
        <w:pStyle w:val="Standard"/>
        <w:rPr>
          <w:rFonts w:hint="eastAsia"/>
        </w:rPr>
      </w:pPr>
      <w:r>
        <w:t xml:space="preserve">Please could I respectfully ask you to consider the impact that these very large developments have on small communities? A city with an additional 600 houses is still a city, a town with an additional 600 houses is still a town. A village like Tattenhall increased by 60% (not including development that has taken place in recent years) hugely changes its identity so that it ceases to be a small rural village. The people who choose </w:t>
      </w:r>
      <w:r>
        <w:t>to live in villages do not want to live in towns. This does not mean they are against growth in housing. There is a difference between housing growth and over-development.</w:t>
      </w:r>
    </w:p>
    <w:p w14:paraId="075F4DEE" w14:textId="77777777" w:rsidR="009C133E" w:rsidRDefault="009C133E">
      <w:pPr>
        <w:pStyle w:val="Standard"/>
        <w:rPr>
          <w:rFonts w:hint="eastAsia"/>
        </w:rPr>
      </w:pPr>
    </w:p>
    <w:p w14:paraId="6E3D5536" w14:textId="77777777" w:rsidR="009C133E" w:rsidRDefault="00681BDC">
      <w:pPr>
        <w:pStyle w:val="Standard"/>
        <w:rPr>
          <w:rFonts w:hint="eastAsia"/>
        </w:rPr>
      </w:pPr>
      <w:proofErr w:type="gramStart"/>
      <w:r>
        <w:t>Of course</w:t>
      </w:r>
      <w:proofErr w:type="gramEnd"/>
      <w:r>
        <w:t xml:space="preserve"> people need places to live, but there must be a better way than choosing sites which </w:t>
      </w:r>
      <w:proofErr w:type="gramStart"/>
      <w:r>
        <w:t>are  unsuitable</w:t>
      </w:r>
      <w:proofErr w:type="gramEnd"/>
      <w:r>
        <w:t xml:space="preserve">. I would argue that development on the scale proposed for Tattenhall is contrary to Section 11 of the NPPF para 125 b) which states that planning policies should ‘recognise that some undeveloped land can perform many functions, </w:t>
      </w:r>
      <w:r>
        <w:t>such as for wildlife, recreation, flood risk mitigation, cooling/shading, carbon storage or food production’. The site allocated for Phase 1 is good agricultural land used for grazing cattle (food production), contributes to flood mitigation and stores carbon.</w:t>
      </w:r>
    </w:p>
    <w:p w14:paraId="41FAE9D6" w14:textId="77777777" w:rsidR="009C133E" w:rsidRDefault="009C133E">
      <w:pPr>
        <w:pStyle w:val="Standard"/>
        <w:rPr>
          <w:rFonts w:hint="eastAsia"/>
        </w:rPr>
      </w:pPr>
    </w:p>
    <w:p w14:paraId="51E97BE6" w14:textId="77777777" w:rsidR="009C133E" w:rsidRDefault="00681BDC">
      <w:pPr>
        <w:pStyle w:val="Standard"/>
        <w:rPr>
          <w:rFonts w:hint="eastAsia"/>
        </w:rPr>
      </w:pPr>
      <w:r>
        <w:t xml:space="preserve">Development of the scale and location proposed in the Tattenhall Neighbourhood Plan is contrary to Local Plan (Part One) as follows:  </w:t>
      </w:r>
    </w:p>
    <w:p w14:paraId="05431980" w14:textId="77777777" w:rsidR="009C133E" w:rsidRDefault="00681BDC">
      <w:pPr>
        <w:pStyle w:val="Standard"/>
        <w:rPr>
          <w:rFonts w:hint="eastAsia"/>
        </w:rPr>
      </w:pPr>
      <w:r>
        <w:t xml:space="preserve">-  SO3 of the Local Plan (Part One), which states that it will, ‘In rural areas, support farming, agriculture and </w:t>
      </w:r>
      <w:r>
        <w:t>diversification of rural economy ensuring development is of an appropriate scale and character’</w:t>
      </w:r>
    </w:p>
    <w:p w14:paraId="7A35E909" w14:textId="77777777" w:rsidR="009C133E" w:rsidRDefault="009C133E">
      <w:pPr>
        <w:pStyle w:val="Standard"/>
        <w:rPr>
          <w:rFonts w:hint="eastAsia"/>
        </w:rPr>
      </w:pPr>
    </w:p>
    <w:p w14:paraId="0139FE8D" w14:textId="77777777" w:rsidR="009C133E" w:rsidRDefault="00681BDC">
      <w:pPr>
        <w:pStyle w:val="Standard"/>
        <w:rPr>
          <w:rFonts w:hint="eastAsia"/>
        </w:rPr>
      </w:pPr>
      <w:r>
        <w:t xml:space="preserve">- Policy STRAT 1 states that proposals should </w:t>
      </w:r>
      <w:proofErr w:type="gramStart"/>
      <w:r>
        <w:t>‘ Encourage</w:t>
      </w:r>
      <w:proofErr w:type="gramEnd"/>
      <w:r>
        <w:t xml:space="preserve"> the use and development of previously developed land and buildings in in sustainable locations that are not of high environmental value’; and ‘Minimise the loss of greenfield land and </w:t>
      </w:r>
      <w:proofErr w:type="gramStart"/>
      <w:r>
        <w:t>high grade</w:t>
      </w:r>
      <w:proofErr w:type="gramEnd"/>
      <w:r>
        <w:t xml:space="preserve"> agricultural land’, yet the proposed sites allocated are on good quality agricultural land.</w:t>
      </w:r>
    </w:p>
    <w:p w14:paraId="28E71980" w14:textId="77777777" w:rsidR="009C133E" w:rsidRDefault="009C133E">
      <w:pPr>
        <w:pStyle w:val="Standard"/>
        <w:rPr>
          <w:rFonts w:hint="eastAsia"/>
        </w:rPr>
      </w:pPr>
    </w:p>
    <w:p w14:paraId="44CA18C5" w14:textId="77777777" w:rsidR="009C133E" w:rsidRDefault="00681BDC">
      <w:pPr>
        <w:pStyle w:val="Standard"/>
        <w:rPr>
          <w:rFonts w:hint="eastAsia"/>
        </w:rPr>
      </w:pPr>
      <w:r>
        <w:t xml:space="preserve">Tattenhall is earmarked for housing as a ’Key Service Centre’ and as </w:t>
      </w:r>
      <w:r>
        <w:t>such, has, I believe, exceeded its requirement over recent years. As with other small villages, being a ‘Key Service centre’ surely cannot mean that development is allowed on unsuitable land in the name of fulfilling an allocation.</w:t>
      </w:r>
    </w:p>
    <w:p w14:paraId="182517AC" w14:textId="77777777" w:rsidR="009C133E" w:rsidRDefault="00681BDC">
      <w:pPr>
        <w:pStyle w:val="Standard"/>
        <w:rPr>
          <w:rFonts w:hint="eastAsia"/>
        </w:rPr>
      </w:pPr>
      <w:r>
        <w:t>It is hard to believe there aren’t more appropriate sites available.</w:t>
      </w:r>
    </w:p>
    <w:p w14:paraId="6209D209" w14:textId="77777777" w:rsidR="009C133E" w:rsidRDefault="009C133E">
      <w:pPr>
        <w:pStyle w:val="Standard"/>
        <w:rPr>
          <w:rFonts w:hint="eastAsia"/>
        </w:rPr>
      </w:pPr>
    </w:p>
    <w:p w14:paraId="2DCB9816" w14:textId="77777777" w:rsidR="009C133E" w:rsidRDefault="009C133E">
      <w:pPr>
        <w:pStyle w:val="Standard"/>
        <w:rPr>
          <w:rFonts w:hint="eastAsia"/>
        </w:rPr>
      </w:pPr>
    </w:p>
    <w:p w14:paraId="76963E49" w14:textId="77777777" w:rsidR="009C133E" w:rsidRDefault="00681BDC">
      <w:pPr>
        <w:pStyle w:val="Standard"/>
        <w:rPr>
          <w:rFonts w:hint="eastAsia"/>
        </w:rPr>
      </w:pPr>
      <w:r>
        <w:t>Yours faithfully</w:t>
      </w:r>
    </w:p>
    <w:p w14:paraId="7CE05C7E" w14:textId="77777777" w:rsidR="009C133E" w:rsidRDefault="009C133E">
      <w:pPr>
        <w:pStyle w:val="Standard"/>
        <w:rPr>
          <w:rFonts w:hint="eastAsia"/>
        </w:rPr>
      </w:pPr>
    </w:p>
    <w:p w14:paraId="46495638" w14:textId="77777777" w:rsidR="009C133E" w:rsidRDefault="00681BDC">
      <w:pPr>
        <w:pStyle w:val="Standard"/>
        <w:rPr>
          <w:rFonts w:hint="eastAsia"/>
        </w:rPr>
      </w:pPr>
      <w:r>
        <w:t>Terry Brownrigg</w:t>
      </w:r>
    </w:p>
    <w:p w14:paraId="09356898" w14:textId="3DB5628A" w:rsidR="009C133E" w:rsidRDefault="00B2314E">
      <w:pPr>
        <w:pStyle w:val="Standard"/>
        <w:rPr>
          <w:rFonts w:hint="eastAsia"/>
        </w:rPr>
      </w:pPr>
      <w:r>
        <w:t>[address redacted]</w:t>
      </w:r>
    </w:p>
    <w:sectPr w:rsidR="009C133E">
      <w:footerReference w:type="default" r:id="rId7"/>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362B8" w14:textId="77777777" w:rsidR="00681BDC" w:rsidRDefault="00681BDC">
      <w:pPr>
        <w:rPr>
          <w:rFonts w:hint="eastAsia"/>
        </w:rPr>
      </w:pPr>
      <w:r>
        <w:separator/>
      </w:r>
    </w:p>
  </w:endnote>
  <w:endnote w:type="continuationSeparator" w:id="0">
    <w:p w14:paraId="1A4914ED" w14:textId="77777777" w:rsidR="00681BDC" w:rsidRDefault="00681BD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Segoe UI Symbol"/>
    <w:charset w:val="02"/>
    <w:family w:val="auto"/>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3B1CD" w14:textId="77777777" w:rsidR="00681BDC" w:rsidRDefault="00681BDC">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8B9DC" w14:textId="77777777" w:rsidR="00681BDC" w:rsidRDefault="00681BDC">
      <w:pPr>
        <w:rPr>
          <w:rFonts w:hint="eastAsia"/>
        </w:rPr>
      </w:pPr>
      <w:r>
        <w:rPr>
          <w:color w:val="000000"/>
        </w:rPr>
        <w:separator/>
      </w:r>
    </w:p>
  </w:footnote>
  <w:footnote w:type="continuationSeparator" w:id="0">
    <w:p w14:paraId="291498D8" w14:textId="77777777" w:rsidR="00681BDC" w:rsidRDefault="00681BDC">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1E7E63"/>
    <w:multiLevelType w:val="multilevel"/>
    <w:tmpl w:val="CAACA21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16cid:durableId="470365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9C133E"/>
    <w:rsid w:val="00681BDC"/>
    <w:rsid w:val="009C133E"/>
    <w:rsid w:val="00B2314E"/>
    <w:rsid w:val="00DE52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83A30"/>
  <w15:docId w15:val="{315F0F3D-553C-43A1-9C7D-4BF18ED16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Mangal"/>
        <w:kern w:val="3"/>
        <w:sz w:val="24"/>
        <w:szCs w:val="24"/>
        <w:lang w:val="en-GB"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Footer">
    <w:name w:val="footer"/>
    <w:basedOn w:val="Standard"/>
    <w:pPr>
      <w:suppressLineNumbers/>
      <w:tabs>
        <w:tab w:val="center" w:pos="4819"/>
        <w:tab w:val="right" w:pos="9638"/>
      </w:tabs>
    </w:pPr>
  </w:style>
  <w:style w:type="character" w:customStyle="1" w:styleId="BulletSymbols">
    <w:name w:val="Bullet Symbols"/>
    <w:rPr>
      <w:rFonts w:ascii="OpenSymbol" w:eastAsia="OpenSymbol" w:hAnsi="OpenSymbol" w:cs="Open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1364</Words>
  <Characters>7165</Characters>
  <Application>Microsoft Office Word</Application>
  <DocSecurity>4</DocSecurity>
  <Lines>135</Lines>
  <Paragraphs>49</Paragraphs>
  <ScaleCrop>false</ScaleCrop>
  <Company/>
  <LinksUpToDate>false</LinksUpToDate>
  <CharactersWithSpaces>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DROUGHTON, Gemma</dc:creator>
  <cp:lastModifiedBy>DROUGHTON, Gemma</cp:lastModifiedBy>
  <cp:revision>2</cp:revision>
  <cp:lastPrinted>2026-07-28T08:43:00Z</cp:lastPrinted>
  <dcterms:created xsi:type="dcterms:W3CDTF">2026-07-28T08:57:00Z</dcterms:created>
  <dcterms:modified xsi:type="dcterms:W3CDTF">2026-07-28T08:57:00Z</dcterms:modified>
</cp:coreProperties>
</file>