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1A32219" w14:textId="5423FA64" w:rsidR="00660FEA" w:rsidRDefault="00542503">
      <w:r>
        <w:t>The Neighbourhood Plan is weak and “has no teeth”. There are no checks or balances on developers and contractors who don’t follow the intent of the Plan. Developers are notorious for promising the earth, but once planning permission is granted, they find ways of ignoring elements that run counter to them maximising their profits. For example, under Policy 2: Local Character, section C it states that “…removing or cutting back mature, native trees …shall be resisted…” unless “…it can be demonstrated that the benefits of development clearly outweigh the harm…” There is no mechanism identified here against which the benefits can be measured and no mechanism for claiming compensation if trees are removed without such benefits being demonstrated.</w:t>
      </w:r>
    </w:p>
    <w:p w14:paraId="0349A360" w14:textId="3B0D5392" w:rsidR="00542503" w:rsidRDefault="00542503"/>
    <w:p w14:paraId="094BDCA4" w14:textId="51F956E1" w:rsidR="00542503" w:rsidRDefault="00542503">
      <w:r>
        <w:t xml:space="preserve">Policy 5: Transport and Communication – Clause A. Sentence 3. “Development that would give rise to unacceptable highway safety impacts… will not be permitted.” Tattenhall is served by narrow, rural lanes. Statistics show that in 2024 there were 72% more fatalities on rural roads than urban roads and ten times more than on motorways. Without any investment in the improvement of the three key roads which will serve this development, i.e. Rocky Lane, Frog Lane and the High Street, any planning officer approving large-scale development such as that proposed in the neighbourhood Plan could reasonably be held culpable for any increase in accidents and fatalities as a result of the increased volume of traffic. </w:t>
      </w:r>
    </w:p>
    <w:p w14:paraId="2B29D2FA" w14:textId="7E8F836E" w:rsidR="00542503" w:rsidRDefault="00542503"/>
    <w:p w14:paraId="62B1FF28" w14:textId="1A4EE786" w:rsidR="00542503" w:rsidRDefault="00542503">
      <w:r>
        <w:t>Policy 7: Site Allocations - Clause A(ii) states that properties other than bungalows should be built to M4(2) accessible standard “…unless this is demonstrated to be unviable.” There is no mechanism within the Plan that defines who should determine whether or not it is unviable to build to this standard nor what situation would constitute “unviable”.</w:t>
      </w:r>
    </w:p>
    <w:p w14:paraId="6014CC8E" w14:textId="18F84B5D" w:rsidR="00542503" w:rsidRDefault="00542503"/>
    <w:p w14:paraId="086FF838" w14:textId="58C8C45D" w:rsidR="00542503" w:rsidRDefault="00542503">
      <w:r>
        <w:t xml:space="preserve">Policy 7: Site Allocations – Clause A(iv) states that there should be a road link through the proposed development area south of Frog Lane linking Rocky Lane to Frog Land. This runs counter to the advice of the police which was set out in their response to the outline planning application for 400 houses on this land. (A through route provide thieves with easy opportunities to get away un-noticed, whereas a </w:t>
      </w:r>
      <w:proofErr w:type="spellStart"/>
      <w:r>
        <w:t>cul</w:t>
      </w:r>
      <w:proofErr w:type="spellEnd"/>
      <w:r>
        <w:t xml:space="preserve"> de sac system means they have to exit the same way they came into the development increasing the possibility of them being spotted).</w:t>
      </w:r>
    </w:p>
    <w:p w14:paraId="2921FA2E" w14:textId="17877AC0" w:rsidR="00542503" w:rsidRDefault="00542503"/>
    <w:p w14:paraId="437CC887" w14:textId="101FBB6C" w:rsidR="00542503" w:rsidRDefault="00542503">
      <w:r>
        <w:t>Policy 7: Site Allocations – Clause A(vii) states that a multipurpose “green” car park should be provided in the vicinity of Barbour Square. As space is limited here, the Plan should include a map indicating which area is referred to for this car park.</w:t>
      </w:r>
    </w:p>
    <w:p w14:paraId="2C65CF9D" w14:textId="58DA8869" w:rsidR="00542503" w:rsidRDefault="00542503"/>
    <w:p w14:paraId="52AFFDD5" w14:textId="1FF2C1D9" w:rsidR="00542503" w:rsidRDefault="00542503">
      <w:r>
        <w:t>Policy 7: Site Allocations – Clause A(x) The provision of safe and convenient footpaths and cycle paths is an excellent idea, but to suggest that these will be the primary mode of transport on a day-to-day basis is wishful thinking. Time constraints, the rural nature of the village and weather will realistically mean that the bulk of journeys for the type of development envisaged will be by car.</w:t>
      </w:r>
    </w:p>
    <w:p w14:paraId="10ECB388" w14:textId="63B024B9" w:rsidR="00542503" w:rsidRDefault="00542503"/>
    <w:p w14:paraId="777DAF83" w14:textId="5D0AE143" w:rsidR="00542503" w:rsidRDefault="00542503">
      <w:r>
        <w:t>Policy 7: – Site Allocations – Clause (xii) The Plan should include a diagram illustrating the habitat mitigation area so that it is not lost if application 22/00194/FUL is not followed through.</w:t>
      </w:r>
    </w:p>
    <w:p w14:paraId="56CA2ED2" w14:textId="25731C10" w:rsidR="00542503" w:rsidRDefault="00542503"/>
    <w:p w14:paraId="4C084942" w14:textId="0570C200" w:rsidR="00542503" w:rsidRDefault="00542503">
      <w:r>
        <w:t>Policy 7: – Site Allocations – Clause (xiii) Re trees, see comment in paragraph 1 above.</w:t>
      </w:r>
    </w:p>
    <w:p w14:paraId="1A540BA4" w14:textId="254F41DC" w:rsidR="00542503" w:rsidRDefault="00542503"/>
    <w:p w14:paraId="6C9E5FFF" w14:textId="51CF3ABD" w:rsidR="00542503" w:rsidRDefault="00542503">
      <w:r>
        <w:t>Policy 7: – Site Allocations – Clause (xv) Wording should be included so that infrastructure improvements precede housing construction.</w:t>
      </w:r>
    </w:p>
    <w:p w14:paraId="719E7745" w14:textId="6752957D" w:rsidR="00542503" w:rsidRDefault="00542503"/>
    <w:p w14:paraId="663DCD53" w14:textId="160D3C1B" w:rsidR="00542503" w:rsidRDefault="00542503">
      <w:r>
        <w:t>Policy 7: – Site Allocations – Clause (xvii) Query whether if the development land is on a water catchment area it should be allowed at all. The safety and resilience of our drinking water supplies should be protected at all costs.</w:t>
      </w:r>
    </w:p>
    <w:p w14:paraId="5EFAC642" w14:textId="5594AFA3" w:rsidR="00542503" w:rsidRDefault="00542503"/>
    <w:p w14:paraId="4422DC01" w14:textId="14C78A50" w:rsidR="00542503" w:rsidRDefault="00542503">
      <w:r>
        <w:t>Policy 7: – Site Allocations – Clause B(ii) Access to this area from Frog Lane is not necessary if access is provided from Chester Road for the same reasons as cited under the response to Clause A(iv) above.</w:t>
      </w:r>
    </w:p>
    <w:p w14:paraId="275AD73E" w14:textId="6300402F" w:rsidR="00542503" w:rsidRDefault="00542503"/>
    <w:p w14:paraId="1BAB4309" w14:textId="4611E2DF" w:rsidR="00542503" w:rsidRDefault="00542503">
      <w:r>
        <w:t>Policy 7: – Site Allocations – Clause B(ii) Sentence 2, change “This may include landscape…” to “This shall include landscape…”</w:t>
      </w:r>
    </w:p>
    <w:p w14:paraId="1D3E8146" w14:textId="01F22DC1" w:rsidR="00542503" w:rsidRDefault="00542503"/>
    <w:p w14:paraId="42D1F7FD" w14:textId="6FBC747F" w:rsidR="00542503" w:rsidRDefault="00542503">
      <w:r>
        <w:t>Policy 7: - Site Allocations – Clause B(v) Define who will enforce this point.</w:t>
      </w:r>
    </w:p>
    <w:p w14:paraId="4626DC1A" w14:textId="5BD6BB3E" w:rsidR="00542503" w:rsidRDefault="00542503"/>
    <w:p w14:paraId="57DA25A5" w14:textId="2BCE1DCE" w:rsidR="00542503" w:rsidRDefault="00542503">
      <w:r>
        <w:t>Policy 7: – Site Allocations – Clause B(vi) See comment against Clause A(x) above.</w:t>
      </w:r>
    </w:p>
    <w:p w14:paraId="5121FF76" w14:textId="205239DF" w:rsidR="00542503" w:rsidRDefault="00542503"/>
    <w:p w14:paraId="0D82D7FD" w14:textId="1D5A3072" w:rsidR="00542503" w:rsidRDefault="00542503">
      <w:r>
        <w:t>Policy 7: – Site Allocations – Clause B(ix) Spell out the process for optimisation of renewable energy.</w:t>
      </w:r>
    </w:p>
    <w:p w14:paraId="63D4379D" w14:textId="3CF3814D" w:rsidR="00542503" w:rsidRDefault="00542503"/>
    <w:p w14:paraId="0B59F7D7" w14:textId="51FEB3DA" w:rsidR="00542503" w:rsidRPr="00542503" w:rsidRDefault="00542503" w:rsidP="00542503">
      <w:pPr>
        <w:rPr>
          <w:rFonts w:ascii="Times New Roman" w:eastAsia="Times New Roman" w:hAnsi="Times New Roman" w:cs="Times New Roman"/>
          <w:sz w:val="24"/>
          <w:lang w:eastAsia="en-GB"/>
        </w:rPr>
      </w:pPr>
      <w:r>
        <w:t xml:space="preserve">Policy 7: – Site Allocations – Clause 3.48 “…supported by the community…” </w:t>
      </w:r>
      <w:r w:rsidRPr="00542503">
        <w:t xml:space="preserve">The consultation received 192 responses, representing approximately 10% of the parish population. While this constitutes a substantial level of engagement for a voluntary consultation, responses were self-selecting and therefore may not be fully representative of the demographic profile or views of the wider community. </w:t>
      </w:r>
      <w:r>
        <w:t xml:space="preserve">Additionally, as it is known that a significant number of the population on the west side of the village (the retirement village, Gifford Lea) were unaware of the survey, the results of the participating members of the community, towards the eastern side of the village, are biased towards development to the west of the village. </w:t>
      </w:r>
      <w:r w:rsidRPr="00542503">
        <w:t>The findings should therefore be interpreted as reflecting the opinions of respondents rather than the parish population as a whole.</w:t>
      </w:r>
    </w:p>
    <w:p w14:paraId="64B43306" w14:textId="6586E8FA" w:rsidR="00542503" w:rsidRDefault="00542503"/>
    <w:p w14:paraId="03A4A69A" w14:textId="5E980503" w:rsidR="00542503" w:rsidRDefault="00542503"/>
    <w:p w14:paraId="09051E3B" w14:textId="0358D70D" w:rsidR="00542503" w:rsidRDefault="00542503"/>
    <w:sectPr w:rsidR="00542503" w:rsidSect="00DC04B7">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2503"/>
    <w:rsid w:val="00542503"/>
    <w:rsid w:val="005C2A1D"/>
    <w:rsid w:val="00660FEA"/>
    <w:rsid w:val="00DC04B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1AE09CF9"/>
  <w15:chartTrackingRefBased/>
  <w15:docId w15:val="{F7BC8742-8CA2-4345-8D2E-6E071ED45F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imes New Roman (Body CS)"/>
        <w:sz w:val="22"/>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9014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74</TotalTime>
  <Pages>2</Pages>
  <Words>761</Words>
  <Characters>4388</Characters>
  <Application>Microsoft Office Word</Application>
  <DocSecurity>0</DocSecurity>
  <Lines>78</Lines>
  <Paragraphs>45</Paragraphs>
  <ScaleCrop>false</ScaleCrop>
  <Company/>
  <LinksUpToDate>false</LinksUpToDate>
  <CharactersWithSpaces>5104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Jonathan Simcock</dc:creator>
  <cp:keywords/>
  <dc:description/>
  <cp:lastModifiedBy>Jonathan Simcock</cp:lastModifiedBy>
  <cp:revision>2</cp:revision>
  <dcterms:created xsi:type="dcterms:W3CDTF">2026-07-23T11:09:00Z</dcterms:created>
  <dcterms:modified xsi:type="dcterms:W3CDTF">2026-07-28T20:41:00Z</dcterms:modified>
</cp:coreProperties>
</file>