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8ABBC" w14:textId="77777777" w:rsidR="00BE0D57" w:rsidRPr="00BE0D57" w:rsidRDefault="00BE0D57" w:rsidP="00BE0D57">
      <w:pPr>
        <w:spacing w:line="360" w:lineRule="auto"/>
        <w:rPr>
          <w:b/>
          <w:u w:val="single"/>
        </w:rPr>
      </w:pPr>
      <w:r w:rsidRPr="00BE0D57">
        <w:rPr>
          <w:b/>
          <w:u w:val="single"/>
        </w:rPr>
        <w:t xml:space="preserve">Cheshire West and Chester Council </w:t>
      </w:r>
    </w:p>
    <w:p w14:paraId="03214B47" w14:textId="77777777" w:rsidR="00F12FDC" w:rsidRDefault="00BE0D57" w:rsidP="00BE0D57">
      <w:pPr>
        <w:spacing w:line="360" w:lineRule="auto"/>
      </w:pPr>
      <w:r w:rsidRPr="00BE0D57">
        <w:rPr>
          <w:b/>
          <w:u w:val="single"/>
        </w:rPr>
        <w:t xml:space="preserve">Tattenhall Neighbourhood Plan </w:t>
      </w:r>
      <w:r w:rsidR="00016E53">
        <w:rPr>
          <w:b/>
          <w:u w:val="single"/>
        </w:rPr>
        <w:t>– Co</w:t>
      </w:r>
      <w:r w:rsidRPr="00BE0D57">
        <w:rPr>
          <w:b/>
          <w:u w:val="single"/>
        </w:rPr>
        <w:t>nsultation Response</w:t>
      </w:r>
      <w:r w:rsidRPr="00BE0D57">
        <w:rPr>
          <w:b/>
        </w:rPr>
        <w:t xml:space="preserve">   </w:t>
      </w:r>
    </w:p>
    <w:p w14:paraId="2F519F90" w14:textId="77777777" w:rsidR="00FD23A8" w:rsidRDefault="00FD23A8" w:rsidP="00F15A29">
      <w:pPr>
        <w:spacing w:after="120" w:line="276" w:lineRule="auto"/>
      </w:pPr>
    </w:p>
    <w:p w14:paraId="696316B4" w14:textId="77777777" w:rsidR="00F15A29" w:rsidRDefault="00F15A29" w:rsidP="00F15A29">
      <w:pPr>
        <w:spacing w:after="120" w:line="276" w:lineRule="auto"/>
      </w:pPr>
      <w:r>
        <w:t>I consider that the Plan as drafted is fundamentally flawed, and should be revisited from scratch.  Notwithstanding this, the following criticisms address individual weaknesses.</w:t>
      </w:r>
    </w:p>
    <w:p w14:paraId="196ADB7F" w14:textId="77777777" w:rsidR="00F15A29" w:rsidRDefault="00F15A29" w:rsidP="0044650B">
      <w:pPr>
        <w:spacing w:after="120" w:line="276" w:lineRule="auto"/>
      </w:pPr>
      <w:r w:rsidRPr="0044650B">
        <w:rPr>
          <w:b/>
        </w:rPr>
        <w:t>Radical change of Policy</w:t>
      </w:r>
      <w:r>
        <w:t>.  This Plan is a reversal of the P</w:t>
      </w:r>
      <w:r w:rsidR="004476B1">
        <w:t xml:space="preserve">arish </w:t>
      </w:r>
      <w:r>
        <w:t>C</w:t>
      </w:r>
      <w:r w:rsidR="004476B1">
        <w:t>ouncil</w:t>
      </w:r>
      <w:r>
        <w:t xml:space="preserve">’s previous position, expressed in the 2024 </w:t>
      </w:r>
      <w:r w:rsidR="0044650B">
        <w:t xml:space="preserve">draft </w:t>
      </w:r>
      <w:r>
        <w:t>Plan and approved by the community, of incremental and controlled growth of the village.</w:t>
      </w:r>
    </w:p>
    <w:p w14:paraId="33736464" w14:textId="77777777" w:rsidR="00791519" w:rsidRPr="00791519" w:rsidRDefault="00791519" w:rsidP="00791519">
      <w:pPr>
        <w:spacing w:after="120" w:line="276" w:lineRule="auto"/>
        <w:ind w:left="567"/>
        <w:rPr>
          <w:b/>
        </w:rPr>
      </w:pPr>
      <w:r>
        <w:rPr>
          <w:b/>
        </w:rPr>
        <w:t>The Plan must take into account the previously expressed view</w:t>
      </w:r>
      <w:r w:rsidR="004D0358">
        <w:rPr>
          <w:b/>
        </w:rPr>
        <w:t>s</w:t>
      </w:r>
      <w:r>
        <w:rPr>
          <w:b/>
        </w:rPr>
        <w:t xml:space="preserve"> of the village population.</w:t>
      </w:r>
    </w:p>
    <w:p w14:paraId="6CDF0E37" w14:textId="77777777" w:rsidR="00F15A29" w:rsidRDefault="00F15A29" w:rsidP="0044650B">
      <w:pPr>
        <w:spacing w:after="120" w:line="276" w:lineRule="auto"/>
      </w:pPr>
      <w:r w:rsidRPr="0044650B">
        <w:rPr>
          <w:b/>
        </w:rPr>
        <w:t>Scale</w:t>
      </w:r>
      <w:r>
        <w:t>.  The Plan envisages a 60% increase in current village / district population in less than 20 years.  In the last 23 years there has only been a 16% increase.</w:t>
      </w:r>
    </w:p>
    <w:p w14:paraId="44315588" w14:textId="77777777" w:rsidR="00F15A29" w:rsidRPr="0044650B" w:rsidRDefault="00F15A29" w:rsidP="009367EC">
      <w:pPr>
        <w:spacing w:after="120" w:line="276" w:lineRule="auto"/>
        <w:ind w:left="567"/>
        <w:rPr>
          <w:b/>
        </w:rPr>
      </w:pPr>
      <w:r w:rsidRPr="0044650B">
        <w:rPr>
          <w:b/>
        </w:rPr>
        <w:t>The Plan must justify the disproportionate increase in population, or if it cannot, must state the practical limits to the scale of development that can be sustainably accommodated within Tattenhall.</w:t>
      </w:r>
    </w:p>
    <w:p w14:paraId="33AB1E7F" w14:textId="77777777" w:rsidR="00F15A29" w:rsidRDefault="00F15A29" w:rsidP="0044650B">
      <w:pPr>
        <w:spacing w:after="120" w:line="276" w:lineRule="auto"/>
      </w:pPr>
      <w:r w:rsidRPr="0044650B">
        <w:rPr>
          <w:b/>
        </w:rPr>
        <w:t>Traffic congestion in the village centre</w:t>
      </w:r>
      <w:r>
        <w:t xml:space="preserve"> (High Street).  This is already at breaking point, with daily jams and blockages.  A 60% population increase implies 60% more traffic – it is totally unrealistic to expect the High Street to cope.  There is nothing in the Plan to address this. </w:t>
      </w:r>
    </w:p>
    <w:p w14:paraId="46BDAAAE" w14:textId="77777777" w:rsidR="00F15A29" w:rsidRPr="0044650B" w:rsidRDefault="00F15A29" w:rsidP="009367EC">
      <w:pPr>
        <w:spacing w:after="120" w:line="276" w:lineRule="auto"/>
        <w:ind w:left="567"/>
        <w:rPr>
          <w:i/>
        </w:rPr>
      </w:pPr>
      <w:r w:rsidRPr="0044650B">
        <w:rPr>
          <w:b/>
        </w:rPr>
        <w:t xml:space="preserve">The Plan must address the current problem of traffic congestion in the village centre, and specify how this </w:t>
      </w:r>
      <w:r w:rsidR="004D0358">
        <w:rPr>
          <w:b/>
        </w:rPr>
        <w:t>is to</w:t>
      </w:r>
      <w:r w:rsidRPr="0044650B">
        <w:rPr>
          <w:b/>
        </w:rPr>
        <w:t xml:space="preserve"> be solved to deal with </w:t>
      </w:r>
      <w:r w:rsidR="004D0358">
        <w:rPr>
          <w:b/>
        </w:rPr>
        <w:t>any</w:t>
      </w:r>
      <w:r w:rsidRPr="0044650B">
        <w:rPr>
          <w:b/>
        </w:rPr>
        <w:t xml:space="preserve"> additional traffic</w:t>
      </w:r>
      <w:r w:rsidRPr="0044650B">
        <w:rPr>
          <w:i/>
        </w:rPr>
        <w:t xml:space="preserve">.   </w:t>
      </w:r>
    </w:p>
    <w:p w14:paraId="7549A60E" w14:textId="77777777" w:rsidR="00F15A29" w:rsidRDefault="00F15A29" w:rsidP="0044650B">
      <w:pPr>
        <w:spacing w:after="120" w:line="276" w:lineRule="auto"/>
      </w:pPr>
      <w:r w:rsidRPr="0044650B">
        <w:rPr>
          <w:b/>
        </w:rPr>
        <w:t>Infrastructure</w:t>
      </w:r>
      <w:r w:rsidR="00791519">
        <w:rPr>
          <w:b/>
        </w:rPr>
        <w:t xml:space="preserve"> 1</w:t>
      </w:r>
      <w:r>
        <w:t>. The logical and sound planning approach for any development would be to put in infrastructure first, then housing.  This Plan envisages the opposite.</w:t>
      </w:r>
      <w:r w:rsidR="00D77758">
        <w:t xml:space="preserve">  </w:t>
      </w:r>
      <w:r>
        <w:t xml:space="preserve">There is no requirement to install infrastructure improvements before housing is constructed. </w:t>
      </w:r>
    </w:p>
    <w:p w14:paraId="257466EA" w14:textId="77777777" w:rsidR="00791519" w:rsidRPr="00791519" w:rsidRDefault="00791519" w:rsidP="00791519">
      <w:pPr>
        <w:spacing w:after="120" w:line="276" w:lineRule="auto"/>
        <w:ind w:left="567"/>
        <w:rPr>
          <w:b/>
        </w:rPr>
      </w:pPr>
      <w:r w:rsidRPr="00791519">
        <w:rPr>
          <w:b/>
        </w:rPr>
        <w:t>The Plan must mandate infrastructure improvements before development commences.</w:t>
      </w:r>
    </w:p>
    <w:p w14:paraId="7D9CF459" w14:textId="77777777" w:rsidR="00F15A29" w:rsidRDefault="00791519" w:rsidP="0044650B">
      <w:pPr>
        <w:spacing w:after="120" w:line="276" w:lineRule="auto"/>
      </w:pPr>
      <w:r>
        <w:rPr>
          <w:b/>
        </w:rPr>
        <w:t xml:space="preserve">Infrastructure 2.  </w:t>
      </w:r>
      <w:r w:rsidR="00F15A29">
        <w:t xml:space="preserve">Policy 7, Phase 2 includes provisions for a connecting road between Frog Lane and Chester Road, thus providing a bypass to the High Street for most additional traffic.  But this will only come after Phase 1 has been completed.  The High Street </w:t>
      </w:r>
      <w:r w:rsidR="00FD23A8">
        <w:t xml:space="preserve">will </w:t>
      </w:r>
      <w:r w:rsidR="00F15A29">
        <w:t xml:space="preserve">have to deal with the additional traffic from Phase 1, for an undetermined but probably extended period. The Plan </w:t>
      </w:r>
      <w:r w:rsidR="00FD23A8">
        <w:t>is silent on this matter</w:t>
      </w:r>
      <w:r w:rsidR="00F15A29">
        <w:t>.  In any event, it is patently the wrong sequence of development.  Phase 2 should come before Phase 1.</w:t>
      </w:r>
    </w:p>
    <w:p w14:paraId="0956F644" w14:textId="77777777" w:rsidR="00791519" w:rsidRPr="00791519" w:rsidRDefault="00791519" w:rsidP="00791519">
      <w:pPr>
        <w:spacing w:after="120" w:line="276" w:lineRule="auto"/>
        <w:ind w:left="567"/>
        <w:rPr>
          <w:b/>
        </w:rPr>
      </w:pPr>
      <w:r w:rsidRPr="00791519">
        <w:rPr>
          <w:b/>
        </w:rPr>
        <w:t xml:space="preserve">The Phases of the Plan </w:t>
      </w:r>
      <w:r w:rsidR="004D0358">
        <w:rPr>
          <w:b/>
        </w:rPr>
        <w:t xml:space="preserve">as drafted </w:t>
      </w:r>
      <w:r w:rsidRPr="00791519">
        <w:rPr>
          <w:b/>
        </w:rPr>
        <w:t>should be reversed to provide a bypass of the centre.</w:t>
      </w:r>
    </w:p>
    <w:p w14:paraId="683252F6" w14:textId="77777777" w:rsidR="009367EC" w:rsidRDefault="00791519" w:rsidP="0044650B">
      <w:pPr>
        <w:spacing w:after="120" w:line="276" w:lineRule="auto"/>
      </w:pPr>
      <w:r>
        <w:rPr>
          <w:b/>
        </w:rPr>
        <w:t xml:space="preserve">Infrastructure 3.  </w:t>
      </w:r>
      <w:r w:rsidR="00F15A29">
        <w:t xml:space="preserve">There is no mention of surface water and foul drainage, water supply and wastewater treatment which will be needed to accommodate 600 new homes, other than an onus on developers to “engage” with providers.  This is much too vague.  </w:t>
      </w:r>
    </w:p>
    <w:p w14:paraId="6DA59369" w14:textId="77777777" w:rsidR="00F15A29" w:rsidRDefault="00F15A29" w:rsidP="009367EC">
      <w:pPr>
        <w:spacing w:after="120" w:line="276" w:lineRule="auto"/>
        <w:ind w:left="567"/>
      </w:pPr>
      <w:r w:rsidRPr="0044650B">
        <w:rPr>
          <w:b/>
        </w:rPr>
        <w:t>The Plan must mandate that the village’s existing facilities are upgraded in good time and to a level specified in the Plan, to deal with the additional loads to and from the developments</w:t>
      </w:r>
      <w:r>
        <w:t>.</w:t>
      </w:r>
    </w:p>
    <w:p w14:paraId="04152081" w14:textId="77777777" w:rsidR="009367EC" w:rsidRDefault="00791519" w:rsidP="0044650B">
      <w:pPr>
        <w:spacing w:after="120" w:line="276" w:lineRule="auto"/>
      </w:pPr>
      <w:r>
        <w:rPr>
          <w:b/>
        </w:rPr>
        <w:t xml:space="preserve">Infrastructure 4.  </w:t>
      </w:r>
      <w:r w:rsidR="00F15A29">
        <w:t xml:space="preserve">Chester Road, Frog Lane and Rocky Lane have all been subject to serious road flooding in recent years, sometimes causing road closures.  Additional hard surfaces, especially as envisaged in Phase 1, will cause substantial short-term run-off directly onto Frog Lane. The Plan does not address this at all.   </w:t>
      </w:r>
    </w:p>
    <w:p w14:paraId="398CA3FE" w14:textId="77777777" w:rsidR="00F15A29" w:rsidRDefault="00F15A29" w:rsidP="009367EC">
      <w:pPr>
        <w:spacing w:after="120" w:line="276" w:lineRule="auto"/>
        <w:ind w:left="567"/>
      </w:pPr>
      <w:r w:rsidRPr="0044650B">
        <w:rPr>
          <w:b/>
        </w:rPr>
        <w:t xml:space="preserve">The Plan must ensure that pre-existing flooding problems are dealt with before </w:t>
      </w:r>
      <w:r w:rsidR="004D0358">
        <w:rPr>
          <w:b/>
        </w:rPr>
        <w:t xml:space="preserve">any </w:t>
      </w:r>
      <w:r w:rsidRPr="0044650B">
        <w:rPr>
          <w:b/>
        </w:rPr>
        <w:t>development begins.</w:t>
      </w:r>
    </w:p>
    <w:p w14:paraId="637C2AC7" w14:textId="77777777" w:rsidR="009367EC" w:rsidRDefault="00791519" w:rsidP="0044650B">
      <w:pPr>
        <w:spacing w:after="120" w:line="276" w:lineRule="auto"/>
      </w:pPr>
      <w:r>
        <w:rPr>
          <w:b/>
        </w:rPr>
        <w:t xml:space="preserve">Infrastructure 5.  </w:t>
      </w:r>
      <w:r w:rsidR="00F15A29">
        <w:t>It is left to developers to identify</w:t>
      </w:r>
      <w:r w:rsidR="00FD23A8">
        <w:t xml:space="preserve"> whether</w:t>
      </w:r>
      <w:r w:rsidR="00F15A29">
        <w:t xml:space="preserve"> developments </w:t>
      </w:r>
      <w:r w:rsidR="00FD23A8">
        <w:t xml:space="preserve">will </w:t>
      </w:r>
      <w:r w:rsidR="00F15A29">
        <w:t xml:space="preserve">cause “significant adverse impacts” to infrastructure.  This is an open door for developers to manufacture reasons why improvements are unnecessary. </w:t>
      </w:r>
    </w:p>
    <w:p w14:paraId="2D81F687" w14:textId="77777777" w:rsidR="00F15A29" w:rsidRDefault="00F15A29" w:rsidP="009367EC">
      <w:pPr>
        <w:spacing w:after="120" w:line="276" w:lineRule="auto"/>
        <w:ind w:left="567"/>
      </w:pPr>
      <w:r w:rsidRPr="0044650B">
        <w:rPr>
          <w:b/>
        </w:rPr>
        <w:lastRenderedPageBreak/>
        <w:t>The Plan must define “significant” and “adverse”</w:t>
      </w:r>
      <w:r w:rsidR="00016E53">
        <w:rPr>
          <w:b/>
        </w:rPr>
        <w:t xml:space="preserve"> impacts</w:t>
      </w:r>
      <w:r>
        <w:t>.</w:t>
      </w:r>
    </w:p>
    <w:p w14:paraId="6DDB5189" w14:textId="77777777" w:rsidR="00F15A29" w:rsidRDefault="00F15A29" w:rsidP="0044650B">
      <w:pPr>
        <w:spacing w:after="120" w:line="276" w:lineRule="auto"/>
      </w:pPr>
      <w:r w:rsidRPr="0044650B">
        <w:rPr>
          <w:b/>
        </w:rPr>
        <w:t>Housing density</w:t>
      </w:r>
      <w:r>
        <w:t>.  This is not specified in the Plan.  Policy 7, Phase 1 (land to South of Frog Lane) envisages 400 houses on an estimated developable area of 11.5Ha – a density of 35 dph (dwellings per hectare), which is at suburban levels.  The recommended density for rural developments is no more than 20 dph.</w:t>
      </w:r>
    </w:p>
    <w:p w14:paraId="11D3F354" w14:textId="77777777" w:rsidR="00F15A29" w:rsidRPr="0044650B" w:rsidRDefault="00F15A29" w:rsidP="00791519">
      <w:pPr>
        <w:spacing w:after="120" w:line="276" w:lineRule="auto"/>
        <w:ind w:left="567"/>
        <w:rPr>
          <w:b/>
        </w:rPr>
      </w:pPr>
      <w:r w:rsidRPr="0044650B">
        <w:rPr>
          <w:b/>
        </w:rPr>
        <w:t>The Plan must specify a housing density in keeping with the rural nature of the village and neighbourhood.</w:t>
      </w:r>
    </w:p>
    <w:p w14:paraId="0B2A890D" w14:textId="77777777" w:rsidR="00F15A29" w:rsidRDefault="00F15A29" w:rsidP="0044650B">
      <w:pPr>
        <w:spacing w:after="120" w:line="276" w:lineRule="auto"/>
      </w:pPr>
      <w:r w:rsidRPr="0044650B">
        <w:rPr>
          <w:b/>
        </w:rPr>
        <w:t>Open Spaces</w:t>
      </w:r>
      <w:r w:rsidRPr="0077450C">
        <w:t xml:space="preserve">.  </w:t>
      </w:r>
      <w:r>
        <w:t>Policy 6 of the Plan identifies and protects existing open and green spaces, which are all within the present settlement boundary.  The areas identified in Policy 7 are outside the present settlement boundary, so have not been previously considered as open or green spaces. The 2026 Plan emphasises that the green spaces in the 2014 Plan and 2024 Plan are unchanged – but ignores the green spaces and views that will be lost</w:t>
      </w:r>
      <w:r w:rsidRPr="0031686B">
        <w:t xml:space="preserve"> </w:t>
      </w:r>
      <w:r>
        <w:t>in the new land allocation.</w:t>
      </w:r>
    </w:p>
    <w:p w14:paraId="79D87FA7" w14:textId="77777777" w:rsidR="00F15A29" w:rsidRPr="00417C66" w:rsidRDefault="00F15A29" w:rsidP="00791519">
      <w:pPr>
        <w:spacing w:after="120" w:line="276" w:lineRule="auto"/>
        <w:ind w:left="567"/>
      </w:pPr>
      <w:r w:rsidRPr="0044650B">
        <w:rPr>
          <w:b/>
        </w:rPr>
        <w:t>The Plan fails to identify or protect the green spaces and views associated with the new land allocation areas.  This must be addressed.</w:t>
      </w:r>
    </w:p>
    <w:p w14:paraId="01A611E6" w14:textId="77777777" w:rsidR="00F15A29" w:rsidRDefault="00F15A29" w:rsidP="0044650B">
      <w:pPr>
        <w:spacing w:after="120" w:line="276" w:lineRule="auto"/>
      </w:pPr>
      <w:r w:rsidRPr="0044650B">
        <w:rPr>
          <w:b/>
        </w:rPr>
        <w:t>New Open Spaces.</w:t>
      </w:r>
      <w:r w:rsidRPr="00417C66">
        <w:t xml:space="preserve"> </w:t>
      </w:r>
      <w:r>
        <w:t xml:space="preserve">Policy 7, Phase 1 of </w:t>
      </w:r>
      <w:r w:rsidRPr="0077450C">
        <w:t>The Plan</w:t>
      </w:r>
      <w:r w:rsidRPr="0044650B">
        <w:rPr>
          <w:b/>
        </w:rPr>
        <w:t xml:space="preserve"> </w:t>
      </w:r>
      <w:r w:rsidRPr="0077450C">
        <w:t>specifies the need for “</w:t>
      </w:r>
      <w:r>
        <w:t xml:space="preserve">up to 9.8Ha of publicly accessible open space including play areas”.  “Up to” is anything from Zero upwards.  This is much too vague.  In any event, how can 9.8Ha of open space be accommodated along with 400 houses within 11.5Ha of developable land?  Phase 2 sets </w:t>
      </w:r>
      <w:r w:rsidRPr="0044650B">
        <w:rPr>
          <w:u w:val="single"/>
        </w:rPr>
        <w:t>no</w:t>
      </w:r>
      <w:r>
        <w:t xml:space="preserve"> requirement at all for open spaces, only that it “shall include provision”.  Everything is left to the developers </w:t>
      </w:r>
      <w:r w:rsidR="00FD23A8">
        <w:t xml:space="preserve">to specify </w:t>
      </w:r>
      <w:r>
        <w:t>in both Phases.</w:t>
      </w:r>
    </w:p>
    <w:p w14:paraId="5B094B24" w14:textId="77777777" w:rsidR="00F15A29" w:rsidRPr="0017628D" w:rsidRDefault="00F15A29" w:rsidP="00791519">
      <w:pPr>
        <w:spacing w:after="120" w:line="276" w:lineRule="auto"/>
        <w:ind w:left="567"/>
      </w:pPr>
      <w:r w:rsidRPr="0044650B">
        <w:rPr>
          <w:b/>
        </w:rPr>
        <w:t xml:space="preserve">The Plan must set specific details of open spaces to be provided for </w:t>
      </w:r>
      <w:r w:rsidR="00016E53">
        <w:rPr>
          <w:b/>
        </w:rPr>
        <w:t>any development</w:t>
      </w:r>
      <w:r w:rsidRPr="0044650B">
        <w:rPr>
          <w:b/>
        </w:rPr>
        <w:t xml:space="preserve">, including minimum areas, </w:t>
      </w:r>
      <w:r w:rsidR="004D0358">
        <w:rPr>
          <w:b/>
        </w:rPr>
        <w:t xml:space="preserve">and </w:t>
      </w:r>
      <w:r w:rsidRPr="0044650B">
        <w:rPr>
          <w:b/>
        </w:rPr>
        <w:t xml:space="preserve">must </w:t>
      </w:r>
      <w:r w:rsidR="004D0358">
        <w:rPr>
          <w:b/>
        </w:rPr>
        <w:t>take into account</w:t>
      </w:r>
      <w:r w:rsidRPr="0044650B">
        <w:rPr>
          <w:b/>
        </w:rPr>
        <w:t xml:space="preserve"> that green spaces and views will be lost as a result of </w:t>
      </w:r>
      <w:r w:rsidR="004D0358">
        <w:rPr>
          <w:b/>
        </w:rPr>
        <w:t xml:space="preserve">the proposed </w:t>
      </w:r>
      <w:r w:rsidRPr="0044650B">
        <w:rPr>
          <w:b/>
        </w:rPr>
        <w:t>new land allocation</w:t>
      </w:r>
      <w:r>
        <w:t>.</w:t>
      </w:r>
    </w:p>
    <w:p w14:paraId="0E9492D4" w14:textId="77777777" w:rsidR="00F15A29" w:rsidRDefault="00F15A29" w:rsidP="0044650B">
      <w:pPr>
        <w:spacing w:after="120" w:line="276" w:lineRule="auto"/>
      </w:pPr>
      <w:r w:rsidRPr="0044650B">
        <w:rPr>
          <w:b/>
        </w:rPr>
        <w:t>Environmental degradation</w:t>
      </w:r>
      <w:r>
        <w:t xml:space="preserve">.  Policy 7 recognises that the development of the 2 specified areas will result in loss of green spaces and the creation of new “settlement edges”. The “defensible boundaries” referred to in Item viii should be more clearly defined.  The use of the word “may” in this context passes decisions on this matter to the developers. The removal of trees and hedgerows within the site, referred to in Item xiii, calls for an arboricultural assessment.  This must be independent and not developer driven. </w:t>
      </w:r>
    </w:p>
    <w:p w14:paraId="74D1796C" w14:textId="77777777" w:rsidR="00F15A29" w:rsidRPr="0044650B" w:rsidRDefault="00F15A29" w:rsidP="00791519">
      <w:pPr>
        <w:spacing w:after="120" w:line="276" w:lineRule="auto"/>
        <w:ind w:left="567"/>
        <w:rPr>
          <w:b/>
        </w:rPr>
      </w:pPr>
      <w:r w:rsidRPr="0044650B">
        <w:rPr>
          <w:b/>
        </w:rPr>
        <w:t xml:space="preserve">The content of Policy 7 needs to be forensically examined and tightened up to lay clear conditions for maintaining </w:t>
      </w:r>
      <w:r w:rsidR="004476B1" w:rsidRPr="0044650B">
        <w:rPr>
          <w:b/>
        </w:rPr>
        <w:t xml:space="preserve">the natural environment </w:t>
      </w:r>
      <w:r w:rsidRPr="0044650B">
        <w:rPr>
          <w:b/>
        </w:rPr>
        <w:t xml:space="preserve">or minimising degradation of </w:t>
      </w:r>
      <w:r w:rsidR="004476B1">
        <w:rPr>
          <w:b/>
        </w:rPr>
        <w:t xml:space="preserve">same </w:t>
      </w:r>
      <w:r w:rsidRPr="0044650B">
        <w:rPr>
          <w:b/>
        </w:rPr>
        <w:t xml:space="preserve">in </w:t>
      </w:r>
      <w:r w:rsidR="004D0358">
        <w:rPr>
          <w:b/>
        </w:rPr>
        <w:t>any</w:t>
      </w:r>
      <w:r w:rsidRPr="0044650B">
        <w:rPr>
          <w:b/>
        </w:rPr>
        <w:t xml:space="preserve"> allocated areas.</w:t>
      </w:r>
    </w:p>
    <w:p w14:paraId="232C1D19" w14:textId="77777777" w:rsidR="00F15A29" w:rsidRDefault="00F15A29" w:rsidP="0044650B">
      <w:pPr>
        <w:spacing w:after="120" w:line="276" w:lineRule="auto"/>
      </w:pPr>
      <w:r w:rsidRPr="0044650B">
        <w:rPr>
          <w:b/>
        </w:rPr>
        <w:t>Reliance on landowner / developer(s)</w:t>
      </w:r>
      <w:r>
        <w:t>.  It is apparent that Policy 7 has been written in conjunction with the single landowner responsible for both areas of land allocation.  Before the publication of this Plan, the landowner had submitted an outline planning application which mirrors almost exactly Phase 1 of Policy 7.  It is inconceivable that this was not wholly or substantially prepared before the content of the Plan was known.  It appears that the Plan has been written to suit the application – a fait accompli.</w:t>
      </w:r>
      <w:r w:rsidRPr="00C65D07">
        <w:t xml:space="preserve"> </w:t>
      </w:r>
      <w:r>
        <w:t>Other scenarios which approached the issue of additional housing requirements favouring smaller and more diverse areas of development have been discarded in favour of this option.  All the eggs are now in one basket.  This does not seem to be a good approach.</w:t>
      </w:r>
    </w:p>
    <w:p w14:paraId="6E64FB1B" w14:textId="77777777" w:rsidR="00791519" w:rsidRPr="00791519" w:rsidRDefault="00791519" w:rsidP="00791519">
      <w:pPr>
        <w:spacing w:after="120" w:line="276" w:lineRule="auto"/>
        <w:ind w:left="567"/>
        <w:rPr>
          <w:b/>
        </w:rPr>
      </w:pPr>
      <w:r>
        <w:rPr>
          <w:b/>
        </w:rPr>
        <w:t>The Plan should not rely on the participation of a single landowner or developer, or concentrated area</w:t>
      </w:r>
      <w:r w:rsidR="004D0358">
        <w:rPr>
          <w:b/>
        </w:rPr>
        <w:t>s</w:t>
      </w:r>
      <w:r>
        <w:rPr>
          <w:b/>
        </w:rPr>
        <w:t xml:space="preserve"> of development.</w:t>
      </w:r>
    </w:p>
    <w:p w14:paraId="33022F66" w14:textId="77777777" w:rsidR="00BE0D57" w:rsidRDefault="00BE0D57" w:rsidP="00F15A29">
      <w:pPr>
        <w:spacing w:line="276" w:lineRule="auto"/>
      </w:pPr>
    </w:p>
    <w:p w14:paraId="75E127CE" w14:textId="27C36235" w:rsidR="00BE0D57" w:rsidRDefault="00BE0D57" w:rsidP="00F15A29">
      <w:pPr>
        <w:spacing w:line="276" w:lineRule="auto"/>
      </w:pPr>
      <w:r>
        <w:t>Robert H Radcliff</w:t>
      </w:r>
      <w:r w:rsidR="002C3ECE">
        <w:t xml:space="preserve"> CEng, MICE</w:t>
      </w:r>
      <w:r w:rsidR="005C03FA">
        <w:t xml:space="preserve"> (Retired)</w:t>
      </w:r>
    </w:p>
    <w:p w14:paraId="1DA499D7" w14:textId="2A2B9654" w:rsidR="00E21A97" w:rsidRDefault="00E21A97" w:rsidP="00F15A29">
      <w:pPr>
        <w:spacing w:line="276" w:lineRule="auto"/>
      </w:pPr>
      <w:r>
        <w:t>[address redacted]</w:t>
      </w:r>
    </w:p>
    <w:sectPr w:rsidR="00E21A97" w:rsidSect="00016E53">
      <w:footerReference w:type="default" r:id="rId8"/>
      <w:pgSz w:w="11906" w:h="16838" w:code="9"/>
      <w:pgMar w:top="85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70739" w14:textId="77777777" w:rsidR="00E6010A" w:rsidRDefault="00E6010A" w:rsidP="00016E53">
      <w:r>
        <w:separator/>
      </w:r>
    </w:p>
  </w:endnote>
  <w:endnote w:type="continuationSeparator" w:id="0">
    <w:p w14:paraId="198FFB9E" w14:textId="77777777" w:rsidR="00E6010A" w:rsidRDefault="00E6010A" w:rsidP="00016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2012001"/>
      <w:docPartObj>
        <w:docPartGallery w:val="Page Numbers (Bottom of Page)"/>
        <w:docPartUnique/>
      </w:docPartObj>
    </w:sdtPr>
    <w:sdtEndPr>
      <w:rPr>
        <w:noProof/>
      </w:rPr>
    </w:sdtEndPr>
    <w:sdtContent>
      <w:p w14:paraId="78E42DD3" w14:textId="77777777" w:rsidR="00016E53" w:rsidRDefault="00016E53">
        <w:pPr>
          <w:pStyle w:val="Footer"/>
          <w:jc w:val="center"/>
        </w:pPr>
        <w:r>
          <w:fldChar w:fldCharType="begin"/>
        </w:r>
        <w:r>
          <w:instrText xml:space="preserve"> PAGE   \* MERGEFORMAT </w:instrText>
        </w:r>
        <w:r>
          <w:fldChar w:fldCharType="separate"/>
        </w:r>
        <w:r w:rsidR="0061339E">
          <w:rPr>
            <w:noProof/>
          </w:rPr>
          <w:t>1</w:t>
        </w:r>
        <w:r>
          <w:rPr>
            <w:noProof/>
          </w:rPr>
          <w:fldChar w:fldCharType="end"/>
        </w:r>
      </w:p>
    </w:sdtContent>
  </w:sdt>
  <w:p w14:paraId="64BEF2FB" w14:textId="77777777" w:rsidR="00016E53" w:rsidRDefault="00016E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68DE6" w14:textId="77777777" w:rsidR="00E6010A" w:rsidRDefault="00E6010A" w:rsidP="00016E53">
      <w:r>
        <w:separator/>
      </w:r>
    </w:p>
  </w:footnote>
  <w:footnote w:type="continuationSeparator" w:id="0">
    <w:p w14:paraId="67D18858" w14:textId="77777777" w:rsidR="00E6010A" w:rsidRDefault="00E6010A" w:rsidP="00016E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A50DA"/>
    <w:multiLevelType w:val="multilevel"/>
    <w:tmpl w:val="245E98FA"/>
    <w:styleLink w:val="Style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Arial" w:hAnsi="Aria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6DE248A0"/>
    <w:multiLevelType w:val="multilevel"/>
    <w:tmpl w:val="245E98FA"/>
    <w:numStyleLink w:val="Style2"/>
  </w:abstractNum>
  <w:num w:numId="1" w16cid:durableId="1176000667">
    <w:abstractNumId w:val="0"/>
  </w:num>
  <w:num w:numId="2" w16cid:durableId="1359963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D57"/>
    <w:rsid w:val="00002043"/>
    <w:rsid w:val="00016E53"/>
    <w:rsid w:val="002C3ECE"/>
    <w:rsid w:val="00302FF0"/>
    <w:rsid w:val="0044650B"/>
    <w:rsid w:val="004476B1"/>
    <w:rsid w:val="00480F65"/>
    <w:rsid w:val="004D0358"/>
    <w:rsid w:val="005C03FA"/>
    <w:rsid w:val="0061339E"/>
    <w:rsid w:val="006B5896"/>
    <w:rsid w:val="00791519"/>
    <w:rsid w:val="00875EAB"/>
    <w:rsid w:val="00882BA8"/>
    <w:rsid w:val="008C5F1A"/>
    <w:rsid w:val="009367EC"/>
    <w:rsid w:val="00BE0D57"/>
    <w:rsid w:val="00D51564"/>
    <w:rsid w:val="00D77758"/>
    <w:rsid w:val="00DC18C4"/>
    <w:rsid w:val="00E21A97"/>
    <w:rsid w:val="00E6010A"/>
    <w:rsid w:val="00F12FDC"/>
    <w:rsid w:val="00F15A29"/>
    <w:rsid w:val="00FD23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7B6E8"/>
  <w15:docId w15:val="{A06769B6-0389-44AE-BDCC-97389B1EC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F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5A29"/>
    <w:pPr>
      <w:ind w:left="720"/>
      <w:contextualSpacing/>
    </w:pPr>
  </w:style>
  <w:style w:type="numbering" w:customStyle="1" w:styleId="Style2">
    <w:name w:val="Style2"/>
    <w:uiPriority w:val="99"/>
    <w:rsid w:val="00F15A29"/>
    <w:pPr>
      <w:numPr>
        <w:numId w:val="1"/>
      </w:numPr>
    </w:pPr>
  </w:style>
  <w:style w:type="paragraph" w:styleId="Header">
    <w:name w:val="header"/>
    <w:basedOn w:val="Normal"/>
    <w:link w:val="HeaderChar"/>
    <w:uiPriority w:val="99"/>
    <w:unhideWhenUsed/>
    <w:rsid w:val="00016E53"/>
    <w:pPr>
      <w:tabs>
        <w:tab w:val="center" w:pos="4513"/>
        <w:tab w:val="right" w:pos="9026"/>
      </w:tabs>
    </w:pPr>
  </w:style>
  <w:style w:type="character" w:customStyle="1" w:styleId="HeaderChar">
    <w:name w:val="Header Char"/>
    <w:basedOn w:val="DefaultParagraphFont"/>
    <w:link w:val="Header"/>
    <w:uiPriority w:val="99"/>
    <w:rsid w:val="00016E53"/>
  </w:style>
  <w:style w:type="paragraph" w:styleId="Footer">
    <w:name w:val="footer"/>
    <w:basedOn w:val="Normal"/>
    <w:link w:val="FooterChar"/>
    <w:uiPriority w:val="99"/>
    <w:unhideWhenUsed/>
    <w:rsid w:val="00016E53"/>
    <w:pPr>
      <w:tabs>
        <w:tab w:val="center" w:pos="4513"/>
        <w:tab w:val="right" w:pos="9026"/>
      </w:tabs>
    </w:pPr>
  </w:style>
  <w:style w:type="character" w:customStyle="1" w:styleId="FooterChar">
    <w:name w:val="Footer Char"/>
    <w:basedOn w:val="DefaultParagraphFont"/>
    <w:link w:val="Footer"/>
    <w:uiPriority w:val="99"/>
    <w:rsid w:val="00016E53"/>
  </w:style>
  <w:style w:type="paragraph" w:styleId="NoSpacing">
    <w:name w:val="No Spacing"/>
    <w:link w:val="NoSpacingChar"/>
    <w:uiPriority w:val="1"/>
    <w:qFormat/>
    <w:rsid w:val="00016E53"/>
    <w:rPr>
      <w:rFonts w:eastAsiaTheme="minorEastAsia"/>
      <w:lang w:val="en-US" w:eastAsia="ja-JP"/>
    </w:rPr>
  </w:style>
  <w:style w:type="character" w:customStyle="1" w:styleId="NoSpacingChar">
    <w:name w:val="No Spacing Char"/>
    <w:basedOn w:val="DefaultParagraphFont"/>
    <w:link w:val="NoSpacing"/>
    <w:uiPriority w:val="1"/>
    <w:rsid w:val="00016E53"/>
    <w:rPr>
      <w:rFonts w:eastAsiaTheme="minorEastAsia"/>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00593-580E-406C-8B03-09D90FA45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1123</Words>
  <Characters>5778</Characters>
  <Application>Microsoft Office Word</Application>
  <DocSecurity>0</DocSecurity>
  <Lines>82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rbacif47-lenovo@yahoo.com</dc:creator>
  <cp:lastModifiedBy>DROUGHTON, Gemma</cp:lastModifiedBy>
  <cp:revision>3</cp:revision>
  <dcterms:created xsi:type="dcterms:W3CDTF">2026-07-31T08:42:00Z</dcterms:created>
  <dcterms:modified xsi:type="dcterms:W3CDTF">2026-07-31T08:42:00Z</dcterms:modified>
</cp:coreProperties>
</file>